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F1" w:rsidRDefault="00763DF1" w:rsidP="00763DF1">
      <w:pPr>
        <w:jc w:val="right"/>
        <w:rPr>
          <w:rFonts w:ascii="Sylfaen" w:hAnsi="Sylfaen"/>
          <w:sz w:val="24"/>
          <w:szCs w:val="24"/>
          <w:lang w:val="fr-FR"/>
        </w:rPr>
      </w:pPr>
      <w:proofErr w:type="spellStart"/>
      <w:r>
        <w:rPr>
          <w:rFonts w:ascii="Sylfaen" w:hAnsi="Sylfaen"/>
          <w:sz w:val="24"/>
          <w:szCs w:val="24"/>
          <w:lang w:val="fr-FR"/>
        </w:rPr>
        <w:t>Mzagve</w:t>
      </w:r>
      <w:proofErr w:type="spellEnd"/>
      <w:r>
        <w:rPr>
          <w:rFonts w:ascii="Sylfaen" w:hAnsi="Sylfaen"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fr-FR"/>
        </w:rPr>
        <w:t>Dokhtourichvili</w:t>
      </w:r>
      <w:proofErr w:type="spellEnd"/>
    </w:p>
    <w:p w:rsidR="00763DF1" w:rsidRDefault="00763DF1" w:rsidP="00763DF1">
      <w:pPr>
        <w:jc w:val="right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 xml:space="preserve">Professeur titulaire </w:t>
      </w:r>
    </w:p>
    <w:p w:rsidR="00763DF1" w:rsidRDefault="00763DF1" w:rsidP="00763DF1">
      <w:pPr>
        <w:jc w:val="right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Université d’Etat Ilia, Tbilissi, Géorgie</w:t>
      </w:r>
    </w:p>
    <w:p w:rsidR="00763DF1" w:rsidRDefault="00763DF1" w:rsidP="00763DF1">
      <w:pPr>
        <w:jc w:val="right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Faculté des Sciences et des Arts</w:t>
      </w:r>
    </w:p>
    <w:p w:rsidR="00763DF1" w:rsidRPr="005458FB" w:rsidRDefault="00763DF1" w:rsidP="00763DF1">
      <w:pPr>
        <w:jc w:val="right"/>
        <w:rPr>
          <w:rFonts w:ascii="Sylfaen" w:hAnsi="Sylfaen"/>
          <w:sz w:val="24"/>
          <w:szCs w:val="24"/>
          <w:lang w:val="fr-FR"/>
        </w:rPr>
      </w:pPr>
    </w:p>
    <w:p w:rsidR="00763DF1" w:rsidRPr="005458FB" w:rsidRDefault="00763DF1" w:rsidP="00763DF1">
      <w:pPr>
        <w:jc w:val="center"/>
        <w:rPr>
          <w:rFonts w:ascii="Sylfaen" w:hAnsi="Sylfaen"/>
          <w:b/>
          <w:sz w:val="24"/>
          <w:szCs w:val="24"/>
          <w:lang w:val="fr-FR"/>
        </w:rPr>
      </w:pPr>
      <w:r w:rsidRPr="00E921BF">
        <w:rPr>
          <w:rFonts w:ascii="Sylfaen" w:hAnsi="Sylfaen"/>
          <w:b/>
          <w:sz w:val="24"/>
          <w:szCs w:val="24"/>
          <w:lang w:val="fr-FR"/>
        </w:rPr>
        <w:t>« Ecriture au féminin/Ecriture au masculin » ou ECRITURE : « Vibration de DEUX au centre de UN » ?</w:t>
      </w:r>
    </w:p>
    <w:p w:rsidR="00763DF1" w:rsidRDefault="00763DF1" w:rsidP="00763DF1">
      <w:pPr>
        <w:jc w:val="right"/>
        <w:rPr>
          <w:rFonts w:ascii="Sylfaen" w:hAnsi="Sylfaen"/>
          <w:i/>
          <w:iCs/>
          <w:sz w:val="24"/>
          <w:szCs w:val="24"/>
          <w:lang w:val="fr-FR"/>
        </w:rPr>
      </w:pPr>
      <w:r w:rsidRPr="005458FB">
        <w:rPr>
          <w:rFonts w:ascii="Sylfaen" w:hAnsi="Sylfaen"/>
          <w:i/>
          <w:iCs/>
          <w:sz w:val="24"/>
          <w:szCs w:val="24"/>
          <w:lang w:val="fr-FR"/>
        </w:rPr>
        <w:t>Il faut être plus fort que l’écrit, plus fort que soi, pour aborder l’écriture</w:t>
      </w:r>
    </w:p>
    <w:p w:rsidR="00763DF1" w:rsidRDefault="00763DF1" w:rsidP="00763DF1">
      <w:pPr>
        <w:tabs>
          <w:tab w:val="left" w:pos="5280"/>
        </w:tabs>
        <w:jc w:val="right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Marguerite Duras</w:t>
      </w:r>
    </w:p>
    <w:p w:rsidR="00763DF1" w:rsidRDefault="00763DF1" w:rsidP="00763DF1">
      <w:pPr>
        <w:ind w:firstLine="720"/>
        <w:jc w:val="both"/>
        <w:rPr>
          <w:rFonts w:ascii="Sylfaen" w:hAnsi="Sylfaen"/>
          <w:sz w:val="24"/>
          <w:szCs w:val="24"/>
          <w:lang w:val="fr-FR"/>
        </w:rPr>
      </w:pPr>
      <w:r w:rsidRPr="00E921BF">
        <w:rPr>
          <w:rFonts w:ascii="Sylfaen" w:hAnsi="Sylfaen"/>
          <w:sz w:val="24"/>
          <w:szCs w:val="24"/>
          <w:lang w:val="fr-FR"/>
        </w:rPr>
        <w:t>Dans la présente communication</w:t>
      </w:r>
      <w:r>
        <w:rPr>
          <w:rFonts w:ascii="Sylfaen" w:hAnsi="Sylfaen"/>
          <w:sz w:val="24"/>
          <w:szCs w:val="24"/>
          <w:lang w:val="fr-FR"/>
        </w:rPr>
        <w:t>,</w:t>
      </w:r>
      <w:r w:rsidRPr="00E921BF">
        <w:rPr>
          <w:rFonts w:ascii="Sylfaen" w:hAnsi="Sylfaen"/>
          <w:sz w:val="24"/>
          <w:szCs w:val="24"/>
          <w:lang w:val="fr-FR"/>
        </w:rPr>
        <w:t xml:space="preserve"> nous nous interrogeons sur l’essence de l’écriture en étudiant les réflexions de certains écrivains et critiques littéraires (dont les écrivains et critiques littéraires géorgiens) sur ce qu’</w:t>
      </w:r>
      <w:r>
        <w:rPr>
          <w:rFonts w:ascii="Sylfaen" w:hAnsi="Sylfaen"/>
          <w:sz w:val="24"/>
          <w:szCs w:val="24"/>
          <w:lang w:val="fr-FR"/>
        </w:rPr>
        <w:t xml:space="preserve">est </w:t>
      </w:r>
      <w:r w:rsidRPr="00E921BF">
        <w:rPr>
          <w:rFonts w:ascii="Sylfaen" w:hAnsi="Sylfaen"/>
          <w:sz w:val="24"/>
          <w:szCs w:val="24"/>
          <w:lang w:val="fr-FR"/>
        </w:rPr>
        <w:t>un écrivain, sur ce qu’est écrire, sur la littérature, en général, pour établir si finalement on devrait parler de l’ECRITURE tout court ou la présenter en deux type</w:t>
      </w:r>
      <w:r>
        <w:rPr>
          <w:rFonts w:ascii="Sylfaen" w:hAnsi="Sylfaen"/>
          <w:sz w:val="24"/>
          <w:szCs w:val="24"/>
          <w:lang w:val="fr-FR"/>
        </w:rPr>
        <w:t xml:space="preserve">s de dichotomie : l’écriture au </w:t>
      </w:r>
      <w:r w:rsidRPr="00E921BF">
        <w:rPr>
          <w:rFonts w:ascii="Sylfaen" w:hAnsi="Sylfaen"/>
          <w:sz w:val="24"/>
          <w:szCs w:val="24"/>
          <w:lang w:val="fr-FR"/>
        </w:rPr>
        <w:t>féminin / l’écriture au masculin ; l’écriture féminine / l’écriture masculine. Notre objectif est de montrer que pour caractériser une écriture, on devrait choisir d’autres critères que celui de sexe de l’auteur, car nous partageons l’avis de Flaubert q</w:t>
      </w:r>
      <w:r>
        <w:rPr>
          <w:rFonts w:ascii="Sylfaen" w:hAnsi="Sylfaen"/>
          <w:sz w:val="24"/>
          <w:szCs w:val="24"/>
          <w:lang w:val="fr-FR"/>
        </w:rPr>
        <w:t>ui disait que l’écriture n’a</w:t>
      </w:r>
      <w:r w:rsidRPr="00E921BF">
        <w:rPr>
          <w:rFonts w:ascii="Sylfaen" w:hAnsi="Sylfaen"/>
          <w:sz w:val="24"/>
          <w:szCs w:val="24"/>
          <w:lang w:val="fr-FR"/>
        </w:rPr>
        <w:t xml:space="preserve"> pas de sexe tout comme la patrie et qu’il n’y a que les bons et les mauvais livres, puisqu’au plus haut niveau de l’écriture, « les différences entre les deux natures s’interpénètrent et ne se distinguent plus ».  </w:t>
      </w:r>
    </w:p>
    <w:p w:rsidR="00763DF1" w:rsidRDefault="00763DF1" w:rsidP="00763DF1">
      <w:pPr>
        <w:ind w:firstLine="720"/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Il y a deux ans, à Aix-en-Provence, à notre XXV Congrès, je développais la même problématique sous l’angle des réponses de 38 écrivains femmes suisses auxquelles on avait posé la question si l’on pouvait parler de l’écriture féminine.</w:t>
      </w:r>
    </w:p>
    <w:p w:rsidR="00763DF1" w:rsidRDefault="00763DF1" w:rsidP="00763DF1">
      <w:pPr>
        <w:ind w:firstLine="720"/>
        <w:jc w:val="both"/>
        <w:rPr>
          <w:rFonts w:ascii="Sylfaen" w:hAnsi="Sylfaen"/>
          <w:sz w:val="24"/>
          <w:szCs w:val="24"/>
          <w:lang w:val="fr-FR"/>
        </w:rPr>
      </w:pPr>
      <w:r w:rsidRPr="00763AE4">
        <w:rPr>
          <w:rFonts w:ascii="Sylfaen" w:hAnsi="Sylfaen"/>
          <w:sz w:val="24"/>
          <w:szCs w:val="24"/>
          <w:lang w:val="fr-FR"/>
        </w:rPr>
        <w:t xml:space="preserve">Nous </w:t>
      </w:r>
      <w:r>
        <w:rPr>
          <w:rFonts w:ascii="Sylfaen" w:hAnsi="Sylfaen"/>
          <w:sz w:val="24"/>
          <w:szCs w:val="24"/>
          <w:lang w:val="fr-FR"/>
        </w:rPr>
        <w:t>avons souligné à l’époque</w:t>
      </w:r>
      <w:r w:rsidRPr="00763AE4">
        <w:rPr>
          <w:rFonts w:ascii="Sylfaen" w:hAnsi="Sylfaen"/>
          <w:sz w:val="24"/>
          <w:szCs w:val="24"/>
          <w:lang w:val="fr-FR"/>
        </w:rPr>
        <w:t xml:space="preserve"> que ces deux types d’écriture existent, mais nous </w:t>
      </w:r>
      <w:r>
        <w:rPr>
          <w:rFonts w:ascii="Sylfaen" w:hAnsi="Sylfaen"/>
          <w:sz w:val="24"/>
          <w:szCs w:val="24"/>
          <w:lang w:val="fr-FR"/>
        </w:rPr>
        <w:t>avons postulé</w:t>
      </w:r>
      <w:r w:rsidRPr="00763AE4">
        <w:rPr>
          <w:rFonts w:ascii="Sylfaen" w:hAnsi="Sylfaen"/>
          <w:sz w:val="24"/>
          <w:szCs w:val="24"/>
          <w:lang w:val="fr-FR"/>
        </w:rPr>
        <w:t xml:space="preserve"> que ce n’est pas forcément des textes écrits uniquement par les femmes auxquels on puisse attribuer le qualificatif « féminin » et aux textes écrits par les hommes, le qualificatif « masculin ».</w:t>
      </w:r>
    </w:p>
    <w:p w:rsidR="00763DF1" w:rsidRDefault="00763DF1" w:rsidP="00763DF1">
      <w:pPr>
        <w:ind w:firstLine="720"/>
        <w:jc w:val="both"/>
        <w:rPr>
          <w:rFonts w:ascii="Sylfaen" w:hAnsi="Sylfaen"/>
          <w:sz w:val="24"/>
          <w:szCs w:val="24"/>
          <w:lang w:val="fr-FR"/>
        </w:rPr>
      </w:pPr>
      <w:r w:rsidRPr="00763AE4">
        <w:rPr>
          <w:rFonts w:ascii="Sylfaen" w:hAnsi="Sylfaen"/>
          <w:sz w:val="24"/>
          <w:szCs w:val="24"/>
          <w:lang w:val="fr-FR"/>
        </w:rPr>
        <w:t xml:space="preserve">En même temps, </w:t>
      </w:r>
      <w:r>
        <w:rPr>
          <w:rFonts w:ascii="Sylfaen" w:hAnsi="Sylfaen"/>
          <w:sz w:val="24"/>
          <w:szCs w:val="24"/>
          <w:lang w:val="fr-FR"/>
        </w:rPr>
        <w:t>nous avons fait</w:t>
      </w:r>
      <w:r w:rsidRPr="00763AE4">
        <w:rPr>
          <w:rFonts w:ascii="Sylfaen" w:hAnsi="Sylfaen"/>
          <w:sz w:val="24"/>
          <w:szCs w:val="24"/>
          <w:lang w:val="fr-FR"/>
        </w:rPr>
        <w:t xml:space="preserve"> aussi la différence entre « écriture féminine » et « écriture féministe » que </w:t>
      </w:r>
      <w:r>
        <w:rPr>
          <w:rFonts w:ascii="Sylfaen" w:hAnsi="Sylfaen"/>
          <w:sz w:val="24"/>
          <w:szCs w:val="24"/>
          <w:lang w:val="fr-FR"/>
        </w:rPr>
        <w:t>nous avons appelée</w:t>
      </w:r>
      <w:r w:rsidRPr="00763AE4">
        <w:rPr>
          <w:rFonts w:ascii="Sylfaen" w:hAnsi="Sylfaen"/>
          <w:sz w:val="24"/>
          <w:szCs w:val="24"/>
          <w:lang w:val="fr-FR"/>
        </w:rPr>
        <w:t xml:space="preserve"> l’écriture engagée défendant les causes de femmes, et encore une expression « écriture femme », laquelle, </w:t>
      </w:r>
      <w:r>
        <w:rPr>
          <w:rFonts w:ascii="Sylfaen" w:hAnsi="Sylfaen"/>
          <w:sz w:val="24"/>
          <w:szCs w:val="24"/>
          <w:lang w:val="fr-FR"/>
        </w:rPr>
        <w:t>nous pensons</w:t>
      </w:r>
      <w:r w:rsidRPr="00763AE4">
        <w:rPr>
          <w:rFonts w:ascii="Sylfaen" w:hAnsi="Sylfaen"/>
          <w:sz w:val="24"/>
          <w:szCs w:val="24"/>
          <w:lang w:val="fr-FR"/>
        </w:rPr>
        <w:t xml:space="preserve">, est le synonyme de l’expression « écriture féminine », mais qui personnifie l’écriture et exprime, de ce fait, d’une manière encore plus forte  l’essence même du mot « écriture ».  </w:t>
      </w:r>
    </w:p>
    <w:sectPr w:rsidR="00763DF1" w:rsidSect="00C7004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F1"/>
    <w:rsid w:val="00150F7B"/>
    <w:rsid w:val="00763DF1"/>
    <w:rsid w:val="007C1022"/>
    <w:rsid w:val="00946CF3"/>
    <w:rsid w:val="00A70B3B"/>
    <w:rsid w:val="00C7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mzago</dc:creator>
  <cp:keywords/>
  <dc:description/>
  <cp:lastModifiedBy>mzago</cp:lastModifiedBy>
  <cp:revision>2</cp:revision>
  <dcterms:created xsi:type="dcterms:W3CDTF">2015-04-22T15:17:00Z</dcterms:created>
  <dcterms:modified xsi:type="dcterms:W3CDTF">2015-04-22T15:17:00Z</dcterms:modified>
</cp:coreProperties>
</file>